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77" w:rsidRDefault="00E77F77" w:rsidP="00E77F77">
      <w:pPr>
        <w:ind w:right="-90"/>
        <w:jc w:val="center"/>
        <w:rPr>
          <w:sz w:val="32"/>
          <w:szCs w:val="32"/>
        </w:rPr>
      </w:pPr>
      <w:bookmarkStart w:id="0" w:name="_GoBack"/>
      <w:bookmarkEnd w:id="0"/>
      <w:r>
        <w:rPr>
          <w:sz w:val="32"/>
          <w:szCs w:val="32"/>
        </w:rPr>
        <w:t>TOWN OF SOMERS</w:t>
      </w:r>
    </w:p>
    <w:p w:rsidR="00E77F77" w:rsidRDefault="00E77F77" w:rsidP="00E77F77">
      <w:pPr>
        <w:ind w:right="-90"/>
        <w:jc w:val="center"/>
        <w:rPr>
          <w:sz w:val="32"/>
          <w:szCs w:val="32"/>
        </w:rPr>
      </w:pPr>
      <w:r>
        <w:rPr>
          <w:sz w:val="32"/>
          <w:szCs w:val="32"/>
        </w:rPr>
        <w:t>ZONING BOARD OF APPEALS</w:t>
      </w:r>
    </w:p>
    <w:p w:rsidR="00E77F77" w:rsidRDefault="00E77F77" w:rsidP="00E77F77">
      <w:pPr>
        <w:ind w:right="-90"/>
        <w:jc w:val="center"/>
        <w:rPr>
          <w:sz w:val="32"/>
          <w:szCs w:val="32"/>
        </w:rPr>
      </w:pPr>
      <w:r>
        <w:rPr>
          <w:sz w:val="32"/>
          <w:szCs w:val="32"/>
        </w:rPr>
        <w:t>REGULAR MEETING</w:t>
      </w:r>
    </w:p>
    <w:p w:rsidR="00E77F77" w:rsidRDefault="00E77F77" w:rsidP="00E77F77">
      <w:pPr>
        <w:ind w:right="-90"/>
        <w:jc w:val="center"/>
        <w:rPr>
          <w:sz w:val="32"/>
          <w:szCs w:val="32"/>
        </w:rPr>
      </w:pPr>
      <w:r>
        <w:rPr>
          <w:sz w:val="32"/>
          <w:szCs w:val="32"/>
        </w:rPr>
        <w:t>May 09, 2017</w:t>
      </w:r>
    </w:p>
    <w:p w:rsidR="00E77F77" w:rsidRDefault="00E77F77" w:rsidP="00E77F77">
      <w:pPr>
        <w:ind w:right="-90"/>
        <w:jc w:val="center"/>
        <w:rPr>
          <w:sz w:val="32"/>
          <w:szCs w:val="32"/>
        </w:rPr>
      </w:pPr>
      <w:r>
        <w:rPr>
          <w:sz w:val="32"/>
          <w:szCs w:val="32"/>
        </w:rPr>
        <w:t>7:30 P.M.</w:t>
      </w:r>
    </w:p>
    <w:p w:rsidR="00E77F77" w:rsidRDefault="00E77F77" w:rsidP="00E77F77">
      <w:pPr>
        <w:ind w:right="-90"/>
        <w:jc w:val="center"/>
        <w:rPr>
          <w:sz w:val="32"/>
          <w:szCs w:val="32"/>
        </w:rPr>
      </w:pPr>
      <w:r>
        <w:rPr>
          <w:sz w:val="32"/>
          <w:szCs w:val="32"/>
        </w:rPr>
        <w:t>TOWN HALL</w:t>
      </w:r>
    </w:p>
    <w:p w:rsidR="00E77F77" w:rsidRDefault="00E77F77" w:rsidP="00E77F77">
      <w:pPr>
        <w:ind w:right="-90"/>
        <w:jc w:val="center"/>
        <w:rPr>
          <w:sz w:val="32"/>
          <w:szCs w:val="32"/>
        </w:rPr>
      </w:pPr>
      <w:r>
        <w:rPr>
          <w:sz w:val="32"/>
          <w:szCs w:val="32"/>
        </w:rPr>
        <w:t>LOWER LEVEL CONFERENCE ROOM</w:t>
      </w:r>
    </w:p>
    <w:p w:rsidR="00E77F77" w:rsidRDefault="00E77F77" w:rsidP="00E77F77">
      <w:pPr>
        <w:ind w:right="-90"/>
        <w:jc w:val="center"/>
        <w:rPr>
          <w:sz w:val="32"/>
          <w:szCs w:val="32"/>
        </w:rPr>
      </w:pPr>
    </w:p>
    <w:p w:rsidR="00E77F77" w:rsidRDefault="00E77F77" w:rsidP="00E77F77">
      <w:pPr>
        <w:ind w:right="-90"/>
        <w:jc w:val="center"/>
        <w:rPr>
          <w:sz w:val="32"/>
          <w:szCs w:val="32"/>
          <w:u w:val="single"/>
        </w:rPr>
      </w:pPr>
      <w:r>
        <w:rPr>
          <w:sz w:val="32"/>
          <w:szCs w:val="32"/>
          <w:u w:val="single"/>
        </w:rPr>
        <w:t>MINUTES</w:t>
      </w:r>
    </w:p>
    <w:p w:rsidR="00E77F77" w:rsidRPr="0058171C" w:rsidRDefault="00E77F77" w:rsidP="00E77F77">
      <w:pPr>
        <w:ind w:right="-90"/>
        <w:jc w:val="center"/>
        <w:rPr>
          <w:sz w:val="32"/>
          <w:szCs w:val="32"/>
        </w:rPr>
      </w:pPr>
      <w:r>
        <w:rPr>
          <w:sz w:val="32"/>
          <w:szCs w:val="32"/>
        </w:rPr>
        <w:t>[Not official until approved at subsequent meeting]</w:t>
      </w:r>
    </w:p>
    <w:p w:rsidR="00E77F77" w:rsidRDefault="00E77F77" w:rsidP="00E77F77">
      <w:pPr>
        <w:ind w:right="-90"/>
        <w:jc w:val="center"/>
        <w:rPr>
          <w:szCs w:val="24"/>
          <w:u w:val="single"/>
        </w:rPr>
      </w:pPr>
    </w:p>
    <w:tbl>
      <w:tblPr>
        <w:tblStyle w:val="TableGrid"/>
        <w:tblW w:w="10458" w:type="dxa"/>
        <w:tblLook w:val="04A0" w:firstRow="1" w:lastRow="0" w:firstColumn="1" w:lastColumn="0" w:noHBand="0" w:noVBand="1"/>
      </w:tblPr>
      <w:tblGrid>
        <w:gridCol w:w="1188"/>
        <w:gridCol w:w="8460"/>
        <w:gridCol w:w="810"/>
      </w:tblGrid>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CALL TO ORDER</w:t>
            </w:r>
          </w:p>
          <w:p w:rsidR="00E77F77" w:rsidRPr="00FD284E" w:rsidRDefault="00E77F77" w:rsidP="00D54979">
            <w:pPr>
              <w:pStyle w:val="ListParagraph"/>
              <w:ind w:left="0" w:right="-90"/>
              <w:rPr>
                <w:szCs w:val="24"/>
              </w:rPr>
            </w:pPr>
          </w:p>
        </w:tc>
        <w:tc>
          <w:tcPr>
            <w:tcW w:w="810" w:type="dxa"/>
          </w:tcPr>
          <w:p w:rsidR="00E77F77" w:rsidRDefault="00E77F77">
            <w:r>
              <w:t>7:30 p.m.</w:t>
            </w:r>
          </w:p>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ROLL CALL</w:t>
            </w:r>
          </w:p>
          <w:p w:rsidR="00E77F77" w:rsidRDefault="00E77F77" w:rsidP="00D54979">
            <w:pPr>
              <w:pStyle w:val="ListParagraph"/>
              <w:ind w:right="-90"/>
              <w:rPr>
                <w:szCs w:val="24"/>
              </w:rPr>
            </w:pPr>
            <w:r>
              <w:rPr>
                <w:szCs w:val="24"/>
              </w:rPr>
              <w:t xml:space="preserve">Present: Dean Hills, </w:t>
            </w:r>
            <w:r w:rsidRPr="00947D7D">
              <w:rPr>
                <w:szCs w:val="24"/>
              </w:rPr>
              <w:t>Joe Marinaccio</w:t>
            </w:r>
            <w:r>
              <w:rPr>
                <w:szCs w:val="24"/>
              </w:rPr>
              <w:t>, Susan Peck, Andy Rockett, Dan Thayer.</w:t>
            </w:r>
            <w:r w:rsidRPr="00947D7D">
              <w:rPr>
                <w:szCs w:val="24"/>
              </w:rPr>
              <w:t xml:space="preserve"> </w:t>
            </w:r>
          </w:p>
          <w:p w:rsidR="00E77F77" w:rsidRDefault="00E77F77" w:rsidP="00D54979">
            <w:pPr>
              <w:pStyle w:val="ListParagraph"/>
              <w:ind w:right="-90"/>
              <w:rPr>
                <w:szCs w:val="24"/>
              </w:rPr>
            </w:pPr>
            <w:r>
              <w:rPr>
                <w:szCs w:val="24"/>
              </w:rPr>
              <w:t>Absent: BJ Ferro, Doug Stebbins</w:t>
            </w:r>
          </w:p>
          <w:p w:rsidR="00E77F77" w:rsidRDefault="00E77F77" w:rsidP="00D54979">
            <w:pPr>
              <w:pStyle w:val="ListParagraph"/>
              <w:ind w:right="-90"/>
              <w:rPr>
                <w:szCs w:val="24"/>
              </w:rPr>
            </w:pPr>
          </w:p>
          <w:p w:rsidR="00E77F77" w:rsidRDefault="00E77F77" w:rsidP="00D54979">
            <w:pPr>
              <w:pStyle w:val="ListParagraph"/>
              <w:ind w:right="-90"/>
              <w:rPr>
                <w:szCs w:val="24"/>
              </w:rPr>
            </w:pPr>
            <w:r>
              <w:rPr>
                <w:szCs w:val="24"/>
              </w:rPr>
              <w:t xml:space="preserve">Audience members present: Kevin </w:t>
            </w:r>
            <w:proofErr w:type="spellStart"/>
            <w:r>
              <w:rPr>
                <w:szCs w:val="24"/>
              </w:rPr>
              <w:t>Barbeau</w:t>
            </w:r>
            <w:proofErr w:type="spellEnd"/>
            <w:r>
              <w:rPr>
                <w:szCs w:val="24"/>
              </w:rPr>
              <w:t xml:space="preserve">, Deirdre </w:t>
            </w:r>
            <w:proofErr w:type="spellStart"/>
            <w:r>
              <w:rPr>
                <w:szCs w:val="24"/>
              </w:rPr>
              <w:t>Barbeau</w:t>
            </w:r>
            <w:proofErr w:type="spellEnd"/>
            <w:r>
              <w:rPr>
                <w:szCs w:val="24"/>
              </w:rPr>
              <w:t>, Rick Granger, John Bond.</w:t>
            </w:r>
          </w:p>
          <w:p w:rsidR="00E77F77" w:rsidRPr="00FD284E"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NEW BUSINESS</w:t>
            </w:r>
          </w:p>
          <w:p w:rsidR="00E77F77" w:rsidRDefault="00E77F77" w:rsidP="00D54979">
            <w:pPr>
              <w:pStyle w:val="ListParagraph"/>
              <w:ind w:left="0" w:right="-90"/>
              <w:rPr>
                <w:szCs w:val="24"/>
              </w:rPr>
            </w:pPr>
          </w:p>
          <w:p w:rsidR="00E77F77" w:rsidRDefault="00E77F77" w:rsidP="00E77F77">
            <w:pPr>
              <w:pStyle w:val="ListParagraph"/>
              <w:numPr>
                <w:ilvl w:val="0"/>
                <w:numId w:val="1"/>
              </w:numPr>
              <w:ind w:right="-90"/>
              <w:rPr>
                <w:szCs w:val="24"/>
              </w:rPr>
            </w:pPr>
            <w:r>
              <w:rPr>
                <w:szCs w:val="24"/>
              </w:rPr>
              <w:t>Election of Officers</w:t>
            </w:r>
          </w:p>
          <w:p w:rsidR="00E77F77" w:rsidRDefault="00E77F77" w:rsidP="00E77F77">
            <w:pPr>
              <w:pStyle w:val="ListParagraph"/>
              <w:numPr>
                <w:ilvl w:val="0"/>
                <w:numId w:val="2"/>
              </w:numPr>
              <w:ind w:right="-90"/>
              <w:rPr>
                <w:szCs w:val="24"/>
              </w:rPr>
            </w:pPr>
            <w:r>
              <w:rPr>
                <w:szCs w:val="24"/>
              </w:rPr>
              <w:t xml:space="preserve"> Rockett nominates Dean Hills for Chair; seconded by Marinaccio; Rockett, Marinaccio, Peck, Thayer vote Aye; </w:t>
            </w:r>
            <w:proofErr w:type="gramStart"/>
            <w:r>
              <w:rPr>
                <w:szCs w:val="24"/>
              </w:rPr>
              <w:t>None</w:t>
            </w:r>
            <w:proofErr w:type="gramEnd"/>
            <w:r>
              <w:rPr>
                <w:szCs w:val="24"/>
              </w:rPr>
              <w:t xml:space="preserve"> vote Nay; Hills abstains.</w:t>
            </w:r>
          </w:p>
          <w:p w:rsidR="00E77F77" w:rsidRDefault="00E77F77" w:rsidP="00E77F77">
            <w:pPr>
              <w:pStyle w:val="ListParagraph"/>
              <w:numPr>
                <w:ilvl w:val="0"/>
                <w:numId w:val="2"/>
              </w:numPr>
              <w:ind w:right="-90"/>
              <w:rPr>
                <w:szCs w:val="24"/>
              </w:rPr>
            </w:pPr>
            <w:r>
              <w:rPr>
                <w:szCs w:val="24"/>
              </w:rPr>
              <w:t xml:space="preserve">Hills nominates Doug Stebbins </w:t>
            </w:r>
            <w:proofErr w:type="gramStart"/>
            <w:r>
              <w:rPr>
                <w:szCs w:val="24"/>
              </w:rPr>
              <w:t>Vice</w:t>
            </w:r>
            <w:proofErr w:type="gramEnd"/>
            <w:r>
              <w:rPr>
                <w:szCs w:val="24"/>
              </w:rPr>
              <w:t xml:space="preserve"> Chair; seconded by Thayer; Unanimous in favor.</w:t>
            </w:r>
          </w:p>
          <w:p w:rsidR="00E77F77" w:rsidRDefault="00E77F77" w:rsidP="00E77F77">
            <w:pPr>
              <w:pStyle w:val="ListParagraph"/>
              <w:numPr>
                <w:ilvl w:val="0"/>
                <w:numId w:val="2"/>
              </w:numPr>
              <w:ind w:right="-90"/>
              <w:rPr>
                <w:szCs w:val="24"/>
              </w:rPr>
            </w:pPr>
            <w:r>
              <w:rPr>
                <w:szCs w:val="24"/>
              </w:rPr>
              <w:t>Peck nominates Rockett for Secretary; seconded by Hills; Unanimous in favor.</w:t>
            </w:r>
          </w:p>
          <w:p w:rsidR="00E77F77" w:rsidRPr="009A1FB0" w:rsidRDefault="00E77F77" w:rsidP="00E77F77">
            <w:pPr>
              <w:pStyle w:val="ListParagraph"/>
              <w:numPr>
                <w:ilvl w:val="0"/>
                <w:numId w:val="1"/>
              </w:numPr>
              <w:ind w:right="-90"/>
              <w:rPr>
                <w:szCs w:val="24"/>
              </w:rPr>
            </w:pPr>
            <w:r>
              <w:rPr>
                <w:szCs w:val="24"/>
              </w:rPr>
              <w:t>Annual Review of Bylaws: Moved (Thayer) Seconded (Peck) to move Bylaws to end of Agenda.  Unanimous in favor.</w:t>
            </w:r>
          </w:p>
          <w:p w:rsidR="00E77F77" w:rsidRDefault="00E77F77" w:rsidP="00D54979">
            <w:pPr>
              <w:pStyle w:val="ListParagraph"/>
              <w:ind w:left="0" w:right="-90"/>
              <w:rPr>
                <w:szCs w:val="24"/>
              </w:rPr>
            </w:pPr>
          </w:p>
          <w:p w:rsidR="00E77F77" w:rsidRPr="00FD284E"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PUBLIC HEARING</w:t>
            </w:r>
          </w:p>
          <w:p w:rsidR="00E77F77" w:rsidRPr="0026022F" w:rsidRDefault="00E77F77" w:rsidP="00E77F77">
            <w:pPr>
              <w:pStyle w:val="ListParagraph"/>
              <w:numPr>
                <w:ilvl w:val="1"/>
                <w:numId w:val="3"/>
              </w:numPr>
              <w:ind w:right="-90"/>
              <w:rPr>
                <w:szCs w:val="24"/>
              </w:rPr>
            </w:pPr>
            <w:r w:rsidRPr="0026022F">
              <w:rPr>
                <w:szCs w:val="24"/>
              </w:rPr>
              <w:t xml:space="preserve">#17-001: Kevin and Deirdre </w:t>
            </w:r>
            <w:proofErr w:type="spellStart"/>
            <w:r w:rsidRPr="0026022F">
              <w:rPr>
                <w:szCs w:val="24"/>
              </w:rPr>
              <w:t>Barbeau</w:t>
            </w:r>
            <w:proofErr w:type="spellEnd"/>
            <w:r w:rsidRPr="0026022F">
              <w:rPr>
                <w:szCs w:val="24"/>
              </w:rPr>
              <w:t xml:space="preserve">, 58 Hangdog Lane, Somers, seeking a variance from </w:t>
            </w:r>
            <w:r w:rsidRPr="0026022F">
              <w:rPr>
                <w:rFonts w:ascii="Calibri" w:hAnsi="Calibri"/>
                <w:szCs w:val="24"/>
              </w:rPr>
              <w:t>§</w:t>
            </w:r>
            <w:r w:rsidRPr="0026022F">
              <w:rPr>
                <w:szCs w:val="24"/>
              </w:rPr>
              <w:t>214-98 of the Somers Code concerning 40’ (forty foot) rear yard setback requirement to allow construction of a single family dwelling 10’ (teen feet) from the rear property line in the A-1 Zone.</w:t>
            </w:r>
            <w:r>
              <w:rPr>
                <w:szCs w:val="24"/>
              </w:rPr>
              <w:t xml:space="preserve"> Rick Granger presented facts concerning house placement, lot.  Lot consists of a portion of land in Somers and a portion of land in Hamden, Massachusetts.  The proposed house placement is within 10 feet of the state line, which also marks the line of jurisdiction for the town of Somers.  Forty foot setback met with respect to property lot lines, but within 10 feet of the state line.  Hardship is the state line. </w:t>
            </w:r>
            <w:r>
              <w:rPr>
                <w:szCs w:val="24"/>
              </w:rPr>
              <w:lastRenderedPageBreak/>
              <w:t>Questions centered on reasons for placement of house at chosen site and its relation to the state line.  Plot plan examined.</w:t>
            </w:r>
          </w:p>
          <w:p w:rsidR="00E77F77" w:rsidRPr="0026022F" w:rsidRDefault="00E77F77" w:rsidP="00D54979">
            <w:pPr>
              <w:pStyle w:val="ListParagraph"/>
              <w:ind w:left="144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PUBLIC HEARING DISCUSSION/DECISION</w:t>
            </w:r>
          </w:p>
          <w:p w:rsidR="00E77F77" w:rsidRDefault="00E77F77" w:rsidP="00E77F77">
            <w:pPr>
              <w:pStyle w:val="ListParagraph"/>
              <w:numPr>
                <w:ilvl w:val="1"/>
                <w:numId w:val="3"/>
              </w:numPr>
              <w:ind w:right="-90"/>
              <w:rPr>
                <w:szCs w:val="24"/>
              </w:rPr>
            </w:pPr>
            <w:r w:rsidRPr="0026022F">
              <w:rPr>
                <w:szCs w:val="24"/>
              </w:rPr>
              <w:t xml:space="preserve">#17-001: Kevin and Deirdre </w:t>
            </w:r>
            <w:proofErr w:type="spellStart"/>
            <w:r w:rsidRPr="0026022F">
              <w:rPr>
                <w:szCs w:val="24"/>
              </w:rPr>
              <w:t>Barbeau</w:t>
            </w:r>
            <w:proofErr w:type="spellEnd"/>
            <w:r w:rsidRPr="0026022F">
              <w:rPr>
                <w:szCs w:val="24"/>
              </w:rPr>
              <w:t>, 58 Hangdog Lane, Somers</w:t>
            </w:r>
            <w:r>
              <w:rPr>
                <w:szCs w:val="24"/>
              </w:rPr>
              <w:t>.  No substantial additional discussion.  Moved (Peck) Seconded (Thayer) to approve application for variance as set forth in #17-001.</w:t>
            </w:r>
            <w:r w:rsidR="00C31490">
              <w:rPr>
                <w:szCs w:val="24"/>
              </w:rPr>
              <w:t xml:space="preserve"> Unanimous in favor.</w:t>
            </w:r>
          </w:p>
          <w:p w:rsidR="00E77F77" w:rsidRDefault="00E77F77" w:rsidP="00D54979">
            <w:pPr>
              <w:pStyle w:val="ListParagraph"/>
              <w:ind w:left="144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UNFINISHED BUSINESS</w:t>
            </w:r>
          </w:p>
          <w:p w:rsidR="00E77F77" w:rsidRDefault="00E77F77" w:rsidP="00D54979">
            <w:pPr>
              <w:pStyle w:val="ListParagraph"/>
              <w:numPr>
                <w:ilvl w:val="0"/>
                <w:numId w:val="4"/>
              </w:numPr>
              <w:ind w:right="-90"/>
              <w:rPr>
                <w:szCs w:val="24"/>
              </w:rPr>
            </w:pPr>
            <w:r>
              <w:rPr>
                <w:szCs w:val="24"/>
              </w:rPr>
              <w:t>None</w:t>
            </w:r>
          </w:p>
          <w:p w:rsidR="00E77F77" w:rsidRPr="00FD284E"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CORRESPONDENCE AND BILLS – None.</w:t>
            </w:r>
          </w:p>
          <w:p w:rsidR="00E77F77" w:rsidRPr="00FD284E"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MINUTES APPROVAL Moved (Thayer) Seconded (Peck) to accept the minutes of November 9, 2016 as amended.  Unanimous in favor.</w:t>
            </w:r>
          </w:p>
          <w:p w:rsidR="00E77F77" w:rsidRPr="00FD284E"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NEW BUSINESS (Continued by motion) – Annual review of By-Laws.</w:t>
            </w:r>
          </w:p>
          <w:p w:rsidR="00E77F77" w:rsidRDefault="00E77F77" w:rsidP="00D54979">
            <w:pPr>
              <w:pStyle w:val="ListParagraph"/>
              <w:ind w:left="0" w:right="-90"/>
              <w:rPr>
                <w:szCs w:val="24"/>
              </w:rPr>
            </w:pPr>
          </w:p>
          <w:p w:rsidR="00E77F77" w:rsidRDefault="00E77F77" w:rsidP="00D54979">
            <w:pPr>
              <w:pStyle w:val="ListParagraph"/>
              <w:ind w:left="0" w:right="-90"/>
              <w:rPr>
                <w:szCs w:val="24"/>
              </w:rPr>
            </w:pPr>
            <w:r>
              <w:rPr>
                <w:szCs w:val="24"/>
              </w:rPr>
              <w:t>Chairman Hills proposed removing the redundant language in Article 9.</w:t>
            </w:r>
          </w:p>
          <w:p w:rsidR="00E77F77" w:rsidRDefault="00E77F77" w:rsidP="00D54979">
            <w:pPr>
              <w:pStyle w:val="ListParagraph"/>
              <w:ind w:left="0" w:right="-90"/>
              <w:rPr>
                <w:szCs w:val="24"/>
              </w:rPr>
            </w:pPr>
          </w:p>
        </w:tc>
        <w:tc>
          <w:tcPr>
            <w:tcW w:w="810" w:type="dxa"/>
          </w:tcPr>
          <w:p w:rsidR="00E77F77" w:rsidRDefault="00E77F77"/>
        </w:tc>
      </w:tr>
      <w:tr w:rsidR="00E77F77" w:rsidTr="00E77F77">
        <w:tc>
          <w:tcPr>
            <w:tcW w:w="1188" w:type="dxa"/>
          </w:tcPr>
          <w:p w:rsidR="00E77F77" w:rsidRDefault="00E77F77" w:rsidP="00E77F77">
            <w:pPr>
              <w:pStyle w:val="ListParagraph"/>
              <w:numPr>
                <w:ilvl w:val="0"/>
                <w:numId w:val="5"/>
              </w:numPr>
            </w:pPr>
          </w:p>
        </w:tc>
        <w:tc>
          <w:tcPr>
            <w:tcW w:w="8460" w:type="dxa"/>
          </w:tcPr>
          <w:p w:rsidR="00E77F77" w:rsidRDefault="00E77F77" w:rsidP="00D54979">
            <w:pPr>
              <w:pStyle w:val="ListParagraph"/>
              <w:ind w:left="0" w:right="-90"/>
              <w:rPr>
                <w:szCs w:val="24"/>
              </w:rPr>
            </w:pPr>
            <w:r>
              <w:rPr>
                <w:szCs w:val="24"/>
              </w:rPr>
              <w:t>ADJOURNMENT Moved (Peck) Seconded (Thayer) to adjourn.  Unanimous in favor.</w:t>
            </w:r>
          </w:p>
          <w:p w:rsidR="00E77F77" w:rsidRPr="00FD284E" w:rsidRDefault="00E77F77" w:rsidP="00D54979">
            <w:pPr>
              <w:pStyle w:val="ListParagraph"/>
              <w:ind w:left="0" w:right="-90"/>
              <w:rPr>
                <w:szCs w:val="24"/>
              </w:rPr>
            </w:pPr>
          </w:p>
        </w:tc>
        <w:tc>
          <w:tcPr>
            <w:tcW w:w="810" w:type="dxa"/>
          </w:tcPr>
          <w:p w:rsidR="00E77F77" w:rsidRDefault="00E77F77">
            <w:r>
              <w:t>7:45 p.m.</w:t>
            </w:r>
          </w:p>
        </w:tc>
      </w:tr>
    </w:tbl>
    <w:p w:rsidR="00A86071" w:rsidRDefault="0011309C"/>
    <w:sectPr w:rsidR="00A86071" w:rsidSect="00E77F7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2B4B"/>
    <w:multiLevelType w:val="hybridMultilevel"/>
    <w:tmpl w:val="82546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90D0E"/>
    <w:multiLevelType w:val="hybridMultilevel"/>
    <w:tmpl w:val="51523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130D4"/>
    <w:multiLevelType w:val="hybridMultilevel"/>
    <w:tmpl w:val="DD70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C64E5"/>
    <w:multiLevelType w:val="hybridMultilevel"/>
    <w:tmpl w:val="D2B4E56A"/>
    <w:lvl w:ilvl="0" w:tplc="720A77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B963E7"/>
    <w:multiLevelType w:val="hybridMultilevel"/>
    <w:tmpl w:val="D0E6C7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7"/>
    <w:rsid w:val="0011309C"/>
    <w:rsid w:val="003D2281"/>
    <w:rsid w:val="004F59E4"/>
    <w:rsid w:val="00671EC1"/>
    <w:rsid w:val="006E0A7E"/>
    <w:rsid w:val="00C31490"/>
    <w:rsid w:val="00C919E0"/>
    <w:rsid w:val="00D27FC4"/>
    <w:rsid w:val="00E365F5"/>
    <w:rsid w:val="00E7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19E0"/>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E7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19E0"/>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E7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Vernon Public Schools</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Rockett, Andrew</dc:creator>
  <cp:lastModifiedBy>Jennifer Roy</cp:lastModifiedBy>
  <cp:revision>2</cp:revision>
  <dcterms:created xsi:type="dcterms:W3CDTF">2017-05-10T18:48:00Z</dcterms:created>
  <dcterms:modified xsi:type="dcterms:W3CDTF">2017-05-10T18:48:00Z</dcterms:modified>
</cp:coreProperties>
</file>